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C1" w:rsidRPr="00C43AD7" w:rsidRDefault="002300C1" w:rsidP="00C43AD7">
      <w:pPr>
        <w:jc w:val="right"/>
        <w:rPr>
          <w:b/>
          <w:color w:val="000000"/>
          <w:sz w:val="96"/>
        </w:rPr>
      </w:pPr>
      <w:r>
        <w:rPr>
          <w:color w:val="000000"/>
          <w:sz w:val="96"/>
        </w:rPr>
        <w:t xml:space="preserve">UK </w:t>
      </w:r>
      <w:r>
        <w:rPr>
          <w:b/>
          <w:color w:val="000000"/>
          <w:sz w:val="96"/>
        </w:rPr>
        <w:t>RSC</w:t>
      </w:r>
      <w:r w:rsidR="00C43AD7">
        <w:rPr>
          <w:b/>
          <w:color w:val="000000"/>
          <w:sz w:val="96"/>
        </w:rPr>
        <w:t xml:space="preserve"> </w:t>
      </w:r>
      <w:r w:rsidRPr="002300C1">
        <w:rPr>
          <w:sz w:val="28"/>
        </w:rPr>
        <w:t>Motion Recording F</w:t>
      </w:r>
      <w:bookmarkStart w:id="0" w:name="_GoBack"/>
      <w:bookmarkEnd w:id="0"/>
      <w:r w:rsidRPr="002300C1">
        <w:rPr>
          <w:sz w:val="28"/>
        </w:rPr>
        <w:t>orm</w:t>
      </w:r>
      <w:r w:rsidR="00D83B69">
        <w:rPr>
          <w:sz w:val="28"/>
        </w:rPr>
        <w:t xml:space="preserve"> March 2019 Jersey </w:t>
      </w:r>
      <w:r w:rsidR="007B209A">
        <w:rPr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2300C1" w:rsidTr="0036087C">
        <w:trPr>
          <w:trHeight w:val="3274"/>
        </w:trPr>
        <w:tc>
          <w:tcPr>
            <w:tcW w:w="2518" w:type="dxa"/>
          </w:tcPr>
          <w:p w:rsidR="002300C1" w:rsidRDefault="002300C1" w:rsidP="002300C1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0" wp14:anchorId="6E26734A" wp14:editId="72BE7C93">
                  <wp:simplePos x="0" y="0"/>
                  <wp:positionH relativeFrom="column">
                    <wp:posOffset>164465</wp:posOffset>
                  </wp:positionH>
                  <wp:positionV relativeFrom="page">
                    <wp:posOffset>111125</wp:posOffset>
                  </wp:positionV>
                  <wp:extent cx="1145540" cy="1807210"/>
                  <wp:effectExtent l="0" t="0" r="0" b="2540"/>
                  <wp:wrapSquare wrapText="bothSides"/>
                  <wp:docPr id="2218" name="Picture 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80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4" w:type="dxa"/>
          </w:tcPr>
          <w:p w:rsidR="002300C1" w:rsidRDefault="002300C1" w:rsidP="00381726">
            <w:pPr>
              <w:tabs>
                <w:tab w:val="left" w:pos="8505"/>
              </w:tabs>
              <w:rPr>
                <w:b/>
                <w:u w:val="single"/>
              </w:rPr>
            </w:pPr>
            <w:r w:rsidRPr="00D152E6">
              <w:rPr>
                <w:b/>
                <w:u w:val="single"/>
              </w:rPr>
              <w:t>Motion:</w:t>
            </w:r>
            <w:r w:rsidR="00EC4B9E" w:rsidRPr="00D152E6">
              <w:rPr>
                <w:b/>
                <w:u w:val="single"/>
              </w:rPr>
              <w:t xml:space="preserve"> 1</w:t>
            </w:r>
            <w:r w:rsidR="00984CC5" w:rsidRPr="00D152E6">
              <w:rPr>
                <w:b/>
                <w:u w:val="single"/>
              </w:rPr>
              <w:t>,</w:t>
            </w:r>
          </w:p>
          <w:p w:rsidR="00C43AD7" w:rsidRPr="00D152E6" w:rsidRDefault="00C43AD7" w:rsidP="00381726">
            <w:pPr>
              <w:tabs>
                <w:tab w:val="left" w:pos="8505"/>
              </w:tabs>
              <w:rPr>
                <w:b/>
                <w:u w:val="single"/>
              </w:rPr>
            </w:pPr>
          </w:p>
          <w:p w:rsidR="00EC4B9E" w:rsidRDefault="00EC4B9E" w:rsidP="00EC4B9E">
            <w:pPr>
              <w:ind w:right="360"/>
              <w:rPr>
                <w:rFonts w:eastAsia="Times New Roman" w:cstheme="minorHAnsi"/>
                <w:b/>
                <w:lang w:val="en-US"/>
              </w:rPr>
            </w:pPr>
            <w:r w:rsidRPr="00EC4B9E">
              <w:rPr>
                <w:rFonts w:eastAsia="Times New Roman" w:cstheme="minorHAnsi"/>
                <w:b/>
                <w:lang w:val="en-US"/>
              </w:rPr>
              <w:t>That NAWS be directed to</w:t>
            </w:r>
            <w:r w:rsidR="00C43AD7">
              <w:rPr>
                <w:rFonts w:eastAsia="Times New Roman" w:cstheme="minorHAnsi"/>
                <w:b/>
                <w:lang w:val="en-US"/>
              </w:rPr>
              <w:t xml:space="preserve"> register those online</w:t>
            </w:r>
            <w:r w:rsidRPr="00EC4B9E">
              <w:rPr>
                <w:rFonts w:eastAsia="Times New Roman" w:cstheme="minorHAnsi"/>
                <w:b/>
                <w:lang w:val="en-US"/>
              </w:rPr>
              <w:t xml:space="preserve"> groups, meetings and service bodies w</w:t>
            </w:r>
            <w:r w:rsidR="007B209A">
              <w:rPr>
                <w:rFonts w:eastAsia="Times New Roman" w:cstheme="minorHAnsi"/>
                <w:b/>
                <w:lang w:val="en-US"/>
              </w:rPr>
              <w:t>ho meet the necessary criteria</w:t>
            </w:r>
            <w:r w:rsidRPr="00EC4B9E">
              <w:rPr>
                <w:rFonts w:eastAsia="Times New Roman" w:cstheme="minorHAnsi"/>
                <w:b/>
                <w:lang w:val="en-US"/>
              </w:rPr>
              <w:t xml:space="preserve"> as defined in all currently approved NA service literature relating to groups, meetings and service bodies.</w:t>
            </w:r>
          </w:p>
          <w:p w:rsidR="00C43AD7" w:rsidRPr="00EC4B9E" w:rsidRDefault="00C43AD7" w:rsidP="00EC4B9E">
            <w:pPr>
              <w:ind w:right="360"/>
              <w:rPr>
                <w:rFonts w:eastAsia="Times New Roman" w:cstheme="minorHAnsi"/>
                <w:b/>
                <w:lang w:val="en-US"/>
              </w:rPr>
            </w:pPr>
          </w:p>
          <w:p w:rsidR="00EC4B9E" w:rsidRDefault="00EC4B9E" w:rsidP="00EC4B9E">
            <w:pPr>
              <w:tabs>
                <w:tab w:val="left" w:pos="8505"/>
              </w:tabs>
              <w:rPr>
                <w:b/>
                <w:u w:val="single"/>
              </w:rPr>
            </w:pPr>
            <w:r w:rsidRPr="00D152E6">
              <w:rPr>
                <w:b/>
                <w:u w:val="single"/>
              </w:rPr>
              <w:t>Motion: 1a</w:t>
            </w:r>
            <w:r w:rsidR="00984CC5" w:rsidRPr="00D152E6">
              <w:rPr>
                <w:b/>
                <w:u w:val="single"/>
              </w:rPr>
              <w:t>,</w:t>
            </w:r>
          </w:p>
          <w:p w:rsidR="00C43AD7" w:rsidRPr="00D152E6" w:rsidRDefault="00C43AD7" w:rsidP="00EC4B9E">
            <w:pPr>
              <w:tabs>
                <w:tab w:val="left" w:pos="8505"/>
              </w:tabs>
              <w:rPr>
                <w:b/>
                <w:u w:val="single"/>
              </w:rPr>
            </w:pPr>
          </w:p>
          <w:p w:rsidR="00EC4B9E" w:rsidRPr="00984CC5" w:rsidRDefault="00EC4B9E" w:rsidP="00EC4B9E">
            <w:pPr>
              <w:tabs>
                <w:tab w:val="left" w:pos="8505"/>
              </w:tabs>
              <w:rPr>
                <w:b/>
              </w:rPr>
            </w:pPr>
            <w:r w:rsidRPr="00984CC5">
              <w:rPr>
                <w:b/>
              </w:rPr>
              <w:t xml:space="preserve">Should motion 1 pass that NAWS be directed to amend the caveat relating to </w:t>
            </w:r>
            <w:r w:rsidR="00C43AD7">
              <w:rPr>
                <w:b/>
              </w:rPr>
              <w:t>online</w:t>
            </w:r>
            <w:r w:rsidRPr="00984CC5">
              <w:rPr>
                <w:b/>
              </w:rPr>
              <w:t xml:space="preserve"> meetings as seen on the meeting finder </w:t>
            </w:r>
            <w:r w:rsidR="00D83B69">
              <w:rPr>
                <w:b/>
              </w:rPr>
              <w:t xml:space="preserve">page </w:t>
            </w:r>
            <w:r w:rsidRPr="00984CC5">
              <w:rPr>
                <w:b/>
              </w:rPr>
              <w:t>on the NAWS website which currently states;</w:t>
            </w:r>
          </w:p>
          <w:p w:rsidR="00EC4B9E" w:rsidRPr="00984CC5" w:rsidRDefault="00EC4B9E" w:rsidP="00EC4B9E">
            <w:pPr>
              <w:tabs>
                <w:tab w:val="left" w:pos="8505"/>
              </w:tabs>
              <w:rPr>
                <w:b/>
                <w:i/>
              </w:rPr>
            </w:pPr>
            <w:r w:rsidRPr="00984CC5">
              <w:rPr>
                <w:b/>
                <w:i/>
              </w:rPr>
              <w:t xml:space="preserve"> </w:t>
            </w:r>
            <w:r w:rsidRPr="00984CC5">
              <w:rPr>
                <w:b/>
                <w:i/>
                <w:color w:val="FF0000"/>
              </w:rPr>
              <w:t xml:space="preserve">“NA World Services does not register online groups, but we list online meetings as a service. This listing does not mean that online meetings are considered NA groups or a part of the NA Service Structure.” </w:t>
            </w:r>
          </w:p>
          <w:p w:rsidR="00EC4B9E" w:rsidRPr="00984CC5" w:rsidRDefault="00EC4B9E" w:rsidP="00EC4B9E">
            <w:pPr>
              <w:tabs>
                <w:tab w:val="left" w:pos="8505"/>
              </w:tabs>
              <w:rPr>
                <w:b/>
              </w:rPr>
            </w:pPr>
            <w:r w:rsidRPr="00984CC5">
              <w:rPr>
                <w:b/>
              </w:rPr>
              <w:t>To be amended to:</w:t>
            </w:r>
          </w:p>
          <w:p w:rsidR="00EC4B9E" w:rsidRPr="00984CC5" w:rsidRDefault="00EC4B9E" w:rsidP="00EC4B9E">
            <w:pPr>
              <w:tabs>
                <w:tab w:val="left" w:pos="8505"/>
              </w:tabs>
              <w:rPr>
                <w:b/>
                <w:i/>
                <w:color w:val="FF0000"/>
              </w:rPr>
            </w:pPr>
            <w:r w:rsidRPr="00984CC5">
              <w:rPr>
                <w:b/>
                <w:i/>
                <w:color w:val="FF0000"/>
              </w:rPr>
              <w:t xml:space="preserve"> </w:t>
            </w:r>
            <w:r w:rsidR="004272D0">
              <w:rPr>
                <w:b/>
                <w:i/>
                <w:color w:val="FF0000"/>
              </w:rPr>
              <w:t>“</w:t>
            </w:r>
            <w:r w:rsidR="00C43AD7" w:rsidRPr="00C43AD7">
              <w:rPr>
                <w:b/>
                <w:i/>
                <w:color w:val="FF0000"/>
                <w:lang w:val="en-US"/>
              </w:rPr>
              <w:t>NA World Services does not register all online</w:t>
            </w:r>
            <w:r w:rsidR="00C43AD7">
              <w:rPr>
                <w:b/>
                <w:i/>
                <w:color w:val="FF0000"/>
                <w:lang w:val="en-US"/>
              </w:rPr>
              <w:t xml:space="preserve"> groups, </w:t>
            </w:r>
            <w:r w:rsidR="00C43AD7" w:rsidRPr="00C43AD7">
              <w:rPr>
                <w:b/>
                <w:i/>
                <w:color w:val="FF0000"/>
                <w:lang w:val="en-US"/>
              </w:rPr>
              <w:t>meetings and service bodies but we do list unregistered online meetings as a service. This means that not all online meetings listed here are considered NA groups or a part of the NA Service Structure.”</w:t>
            </w:r>
          </w:p>
          <w:p w:rsidR="00EC4B9E" w:rsidRDefault="00984CC5" w:rsidP="00381726">
            <w:pPr>
              <w:tabs>
                <w:tab w:val="left" w:pos="8505"/>
              </w:tabs>
              <w:rPr>
                <w:i/>
                <w:sz w:val="20"/>
              </w:rPr>
            </w:pPr>
            <w:r w:rsidRPr="00984CC5">
              <w:rPr>
                <w:i/>
                <w:sz w:val="20"/>
              </w:rPr>
              <w:t>(both of these motions to be adopted and put forward for inclusion in the CAR for the 2020 WSC)</w:t>
            </w:r>
          </w:p>
          <w:p w:rsidR="00C43AD7" w:rsidRPr="00984CC5" w:rsidRDefault="00C43AD7" w:rsidP="00381726">
            <w:pPr>
              <w:tabs>
                <w:tab w:val="left" w:pos="8505"/>
              </w:tabs>
              <w:rPr>
                <w:i/>
                <w:sz w:val="20"/>
              </w:rPr>
            </w:pPr>
          </w:p>
        </w:tc>
      </w:tr>
      <w:tr w:rsidR="002300C1" w:rsidTr="002300C1">
        <w:trPr>
          <w:trHeight w:val="1622"/>
        </w:trPr>
        <w:tc>
          <w:tcPr>
            <w:tcW w:w="10682" w:type="dxa"/>
            <w:gridSpan w:val="2"/>
          </w:tcPr>
          <w:p w:rsidR="002300C1" w:rsidRDefault="002300C1" w:rsidP="00381726">
            <w:pPr>
              <w:tabs>
                <w:tab w:val="left" w:pos="8505"/>
              </w:tabs>
              <w:rPr>
                <w:b/>
                <w:u w:val="single"/>
              </w:rPr>
            </w:pPr>
            <w:r w:rsidRPr="00D152E6">
              <w:rPr>
                <w:b/>
                <w:u w:val="single"/>
              </w:rPr>
              <w:t xml:space="preserve">Why </w:t>
            </w:r>
            <w:r w:rsidR="00C43AD7">
              <w:rPr>
                <w:b/>
                <w:u w:val="single"/>
              </w:rPr>
              <w:t>are these</w:t>
            </w:r>
            <w:r w:rsidRPr="00D152E6">
              <w:rPr>
                <w:b/>
                <w:u w:val="single"/>
              </w:rPr>
              <w:t xml:space="preserve"> </w:t>
            </w:r>
            <w:proofErr w:type="gramStart"/>
            <w:r w:rsidRPr="00D152E6">
              <w:rPr>
                <w:b/>
                <w:u w:val="single"/>
              </w:rPr>
              <w:t>motion</w:t>
            </w:r>
            <w:proofErr w:type="gramEnd"/>
            <w:r w:rsidRPr="00D152E6">
              <w:rPr>
                <w:b/>
                <w:u w:val="single"/>
              </w:rPr>
              <w:t xml:space="preserve"> necessary?</w:t>
            </w:r>
          </w:p>
          <w:p w:rsidR="00C43AD7" w:rsidRPr="00D152E6" w:rsidRDefault="00C43AD7" w:rsidP="00381726">
            <w:pPr>
              <w:tabs>
                <w:tab w:val="left" w:pos="8505"/>
              </w:tabs>
              <w:rPr>
                <w:b/>
                <w:u w:val="single"/>
              </w:rPr>
            </w:pPr>
          </w:p>
          <w:p w:rsidR="00EC4B9E" w:rsidRDefault="006D32B8" w:rsidP="00C43AD7">
            <w:pPr>
              <w:tabs>
                <w:tab w:val="left" w:pos="8505"/>
              </w:tabs>
              <w:rPr>
                <w:b/>
              </w:rPr>
            </w:pPr>
            <w:r w:rsidRPr="00984CC5">
              <w:rPr>
                <w:b/>
              </w:rPr>
              <w:t>In order to clarify</w:t>
            </w:r>
            <w:r w:rsidR="00C43AD7">
              <w:rPr>
                <w:b/>
              </w:rPr>
              <w:t xml:space="preserve"> the position and status of those online</w:t>
            </w:r>
            <w:r w:rsidRPr="00984CC5">
              <w:rPr>
                <w:b/>
              </w:rPr>
              <w:t xml:space="preserve"> groups, meetings and service bodies within the service structure NAWS has stated that they need the specific direction of the fellowship by way of a motion, or motions</w:t>
            </w:r>
            <w:r w:rsidR="00984CC5" w:rsidRPr="00984CC5">
              <w:rPr>
                <w:b/>
              </w:rPr>
              <w:t>,</w:t>
            </w:r>
            <w:r w:rsidRPr="00984CC5">
              <w:rPr>
                <w:b/>
              </w:rPr>
              <w:t xml:space="preserve"> being presented </w:t>
            </w:r>
            <w:r w:rsidR="00984CC5" w:rsidRPr="00984CC5">
              <w:rPr>
                <w:b/>
              </w:rPr>
              <w:t xml:space="preserve">to </w:t>
            </w:r>
            <w:r w:rsidRPr="00984CC5">
              <w:rPr>
                <w:b/>
              </w:rPr>
              <w:t xml:space="preserve">the fellowship </w:t>
            </w:r>
            <w:r w:rsidR="00984CC5" w:rsidRPr="00984CC5">
              <w:rPr>
                <w:b/>
              </w:rPr>
              <w:t>via the CAR at the WSC. In order to facilitate that process it is asked that thes</w:t>
            </w:r>
            <w:r w:rsidR="00C43AD7">
              <w:rPr>
                <w:b/>
              </w:rPr>
              <w:t>e motions be presented</w:t>
            </w:r>
            <w:r w:rsidR="00984CC5" w:rsidRPr="00984CC5">
              <w:rPr>
                <w:b/>
              </w:rPr>
              <w:t xml:space="preserve"> at Region to seek a conscience from the UK fellowship to adopt and put them forward for such inclusion by August of 2019. </w:t>
            </w:r>
          </w:p>
          <w:p w:rsidR="00C43AD7" w:rsidRPr="00984CC5" w:rsidRDefault="00C43AD7" w:rsidP="00C43AD7">
            <w:pPr>
              <w:tabs>
                <w:tab w:val="left" w:pos="8505"/>
              </w:tabs>
              <w:rPr>
                <w:b/>
              </w:rPr>
            </w:pPr>
          </w:p>
        </w:tc>
      </w:tr>
      <w:tr w:rsidR="002300C1" w:rsidTr="002300C1">
        <w:trPr>
          <w:trHeight w:val="1622"/>
        </w:trPr>
        <w:tc>
          <w:tcPr>
            <w:tcW w:w="10682" w:type="dxa"/>
            <w:gridSpan w:val="2"/>
          </w:tcPr>
          <w:p w:rsidR="002300C1" w:rsidRDefault="002300C1" w:rsidP="00381726">
            <w:pPr>
              <w:tabs>
                <w:tab w:val="left" w:pos="8505"/>
              </w:tabs>
              <w:rPr>
                <w:b/>
                <w:u w:val="single"/>
              </w:rPr>
            </w:pPr>
            <w:r w:rsidRPr="00D152E6">
              <w:rPr>
                <w:b/>
                <w:u w:val="single"/>
              </w:rPr>
              <w:t>What are the specific objectives of the proposal</w:t>
            </w:r>
            <w:r w:rsidR="00C43AD7">
              <w:rPr>
                <w:b/>
                <w:u w:val="single"/>
              </w:rPr>
              <w:t>s</w:t>
            </w:r>
            <w:r w:rsidRPr="00D152E6">
              <w:rPr>
                <w:b/>
                <w:u w:val="single"/>
              </w:rPr>
              <w:t>?</w:t>
            </w:r>
          </w:p>
          <w:p w:rsidR="00C43AD7" w:rsidRPr="00D152E6" w:rsidRDefault="00C43AD7" w:rsidP="00381726">
            <w:pPr>
              <w:tabs>
                <w:tab w:val="left" w:pos="8505"/>
              </w:tabs>
              <w:rPr>
                <w:b/>
                <w:u w:val="single"/>
              </w:rPr>
            </w:pPr>
          </w:p>
          <w:p w:rsidR="00EC4B9E" w:rsidRPr="00984CC5" w:rsidRDefault="00EC4B9E" w:rsidP="00EC4B9E">
            <w:pPr>
              <w:tabs>
                <w:tab w:val="left" w:pos="8505"/>
              </w:tabs>
              <w:rPr>
                <w:b/>
              </w:rPr>
            </w:pPr>
            <w:r w:rsidRPr="00984CC5">
              <w:rPr>
                <w:b/>
              </w:rPr>
              <w:t xml:space="preserve">Intent of Motion 1: To bring those </w:t>
            </w:r>
            <w:r w:rsidR="00C43AD7">
              <w:rPr>
                <w:b/>
              </w:rPr>
              <w:t>online</w:t>
            </w:r>
            <w:r w:rsidRPr="00984CC5">
              <w:rPr>
                <w:b/>
              </w:rPr>
              <w:t xml:space="preserve"> groups, meetings and service bodies</w:t>
            </w:r>
            <w:r w:rsidR="00984CC5" w:rsidRPr="00984CC5">
              <w:rPr>
                <w:b/>
              </w:rPr>
              <w:t xml:space="preserve"> of Narcotics Anonymous, who </w:t>
            </w:r>
            <w:r w:rsidRPr="00984CC5">
              <w:rPr>
                <w:b/>
              </w:rPr>
              <w:t xml:space="preserve">meet the </w:t>
            </w:r>
            <w:r w:rsidR="00984CC5" w:rsidRPr="00984CC5">
              <w:rPr>
                <w:b/>
              </w:rPr>
              <w:t xml:space="preserve">specified </w:t>
            </w:r>
            <w:r w:rsidRPr="00984CC5">
              <w:rPr>
                <w:b/>
              </w:rPr>
              <w:t>criteria, into the fellowship and in the spirit and unity of Tradition one, recognize and welcome them as fully participating members of the fellowship and it’s service structures.</w:t>
            </w:r>
          </w:p>
          <w:p w:rsidR="00EC4B9E" w:rsidRPr="00984CC5" w:rsidRDefault="00EC4B9E" w:rsidP="00EC4B9E">
            <w:pPr>
              <w:tabs>
                <w:tab w:val="left" w:pos="8505"/>
              </w:tabs>
              <w:rPr>
                <w:b/>
              </w:rPr>
            </w:pPr>
          </w:p>
          <w:p w:rsidR="00EC4B9E" w:rsidRDefault="00EC4B9E" w:rsidP="00381726">
            <w:pPr>
              <w:tabs>
                <w:tab w:val="left" w:pos="8505"/>
              </w:tabs>
              <w:rPr>
                <w:b/>
              </w:rPr>
            </w:pPr>
            <w:r w:rsidRPr="00984CC5">
              <w:rPr>
                <w:b/>
              </w:rPr>
              <w:t xml:space="preserve">Intent of Motion 1a: Should motion 1 pass the proposed amendment would reflect the conscience of the fellowship and more accurately describe the way that </w:t>
            </w:r>
            <w:proofErr w:type="spellStart"/>
            <w:r w:rsidR="00C43AD7">
              <w:rPr>
                <w:b/>
              </w:rPr>
              <w:t>onine</w:t>
            </w:r>
            <w:proofErr w:type="spellEnd"/>
            <w:r w:rsidRPr="00984CC5">
              <w:rPr>
                <w:b/>
              </w:rPr>
              <w:t xml:space="preserve"> groups, meetings and service bodies are listed.</w:t>
            </w:r>
          </w:p>
          <w:p w:rsidR="00C43AD7" w:rsidRPr="00EC4B9E" w:rsidRDefault="00C43AD7" w:rsidP="00381726">
            <w:pPr>
              <w:tabs>
                <w:tab w:val="left" w:pos="8505"/>
              </w:tabs>
              <w:rPr>
                <w:b/>
                <w:sz w:val="24"/>
                <w:szCs w:val="28"/>
              </w:rPr>
            </w:pPr>
          </w:p>
        </w:tc>
      </w:tr>
      <w:tr w:rsidR="002300C1" w:rsidTr="002300C1">
        <w:trPr>
          <w:trHeight w:val="1670"/>
        </w:trPr>
        <w:tc>
          <w:tcPr>
            <w:tcW w:w="10682" w:type="dxa"/>
            <w:gridSpan w:val="2"/>
          </w:tcPr>
          <w:p w:rsidR="00984CC5" w:rsidRDefault="002300C1" w:rsidP="002300C1">
            <w:pPr>
              <w:rPr>
                <w:b/>
                <w:u w:val="single"/>
              </w:rPr>
            </w:pPr>
            <w:r w:rsidRPr="00D152E6">
              <w:rPr>
                <w:b/>
                <w:u w:val="single"/>
              </w:rPr>
              <w:t>What human and financial resources are required?</w:t>
            </w:r>
          </w:p>
          <w:p w:rsidR="00C43AD7" w:rsidRPr="00D152E6" w:rsidRDefault="00C43AD7" w:rsidP="002300C1">
            <w:pPr>
              <w:rPr>
                <w:b/>
                <w:u w:val="single"/>
              </w:rPr>
            </w:pPr>
          </w:p>
          <w:p w:rsidR="00984CC5" w:rsidRDefault="00984CC5" w:rsidP="002300C1">
            <w:pPr>
              <w:rPr>
                <w:b/>
              </w:rPr>
            </w:pPr>
            <w:r w:rsidRPr="00984CC5">
              <w:rPr>
                <w:b/>
              </w:rPr>
              <w:t>UK</w:t>
            </w:r>
            <w:r w:rsidR="00D152E6">
              <w:rPr>
                <w:b/>
              </w:rPr>
              <w:t>:</w:t>
            </w:r>
            <w:r w:rsidRPr="00984CC5">
              <w:rPr>
                <w:b/>
              </w:rPr>
              <w:t xml:space="preserve"> Region</w:t>
            </w:r>
            <w:r w:rsidR="00591BF3">
              <w:rPr>
                <w:b/>
              </w:rPr>
              <w:t>. C</w:t>
            </w:r>
            <w:r w:rsidR="00D152E6">
              <w:rPr>
                <w:b/>
              </w:rPr>
              <w:t>ost</w:t>
            </w:r>
            <w:r w:rsidRPr="00984CC5">
              <w:rPr>
                <w:b/>
              </w:rPr>
              <w:t xml:space="preserve"> none.</w:t>
            </w:r>
          </w:p>
          <w:p w:rsidR="00C43AD7" w:rsidRPr="00984CC5" w:rsidRDefault="00C43AD7" w:rsidP="002300C1">
            <w:pPr>
              <w:rPr>
                <w:b/>
              </w:rPr>
            </w:pPr>
          </w:p>
          <w:p w:rsidR="002300C1" w:rsidRPr="00984CC5" w:rsidRDefault="00984CC5" w:rsidP="002300C1">
            <w:r w:rsidRPr="00984CC5">
              <w:rPr>
                <w:b/>
              </w:rPr>
              <w:t>NAWS</w:t>
            </w:r>
            <w:r w:rsidR="00D152E6">
              <w:rPr>
                <w:b/>
              </w:rPr>
              <w:t>: T</w:t>
            </w:r>
            <w:r w:rsidRPr="00984CC5">
              <w:rPr>
                <w:b/>
              </w:rPr>
              <w:t>hat they update the current information as presented on the na.org website</w:t>
            </w:r>
            <w:r w:rsidR="00D152E6">
              <w:rPr>
                <w:b/>
              </w:rPr>
              <w:t xml:space="preserve"> relating to the status of </w:t>
            </w:r>
            <w:r w:rsidR="00591BF3">
              <w:rPr>
                <w:b/>
              </w:rPr>
              <w:t>O</w:t>
            </w:r>
            <w:r w:rsidR="00D152E6">
              <w:rPr>
                <w:b/>
              </w:rPr>
              <w:t xml:space="preserve">nline </w:t>
            </w:r>
            <w:r w:rsidR="00C43AD7">
              <w:rPr>
                <w:b/>
              </w:rPr>
              <w:t xml:space="preserve">groups, </w:t>
            </w:r>
            <w:r w:rsidR="00D152E6">
              <w:rPr>
                <w:b/>
              </w:rPr>
              <w:t xml:space="preserve">meetings and service bodies. </w:t>
            </w:r>
            <w:r w:rsidR="00D83B69">
              <w:rPr>
                <w:b/>
              </w:rPr>
              <w:t xml:space="preserve">That processes be put in place to facilitate the registration of those </w:t>
            </w:r>
            <w:r w:rsidR="00D83B69" w:rsidRPr="00D83B69">
              <w:rPr>
                <w:b/>
              </w:rPr>
              <w:t>Online groups, meetings and service bodies</w:t>
            </w:r>
            <w:r w:rsidR="00D83B69">
              <w:rPr>
                <w:b/>
              </w:rPr>
              <w:t xml:space="preserve"> as appropriate. </w:t>
            </w:r>
            <w:r w:rsidR="00D152E6">
              <w:rPr>
                <w:b/>
              </w:rPr>
              <w:t xml:space="preserve">That as and when </w:t>
            </w:r>
            <w:r w:rsidR="00C43AD7">
              <w:rPr>
                <w:b/>
              </w:rPr>
              <w:t xml:space="preserve">all </w:t>
            </w:r>
            <w:r w:rsidR="00D152E6">
              <w:rPr>
                <w:b/>
              </w:rPr>
              <w:t>currently approved service material</w:t>
            </w:r>
            <w:r w:rsidR="00D83B69">
              <w:rPr>
                <w:b/>
              </w:rPr>
              <w:t>s</w:t>
            </w:r>
            <w:r w:rsidR="00D152E6">
              <w:rPr>
                <w:b/>
              </w:rPr>
              <w:t xml:space="preserve"> relating to groups, meetings and service bodies is to be amended and or updated that the appropriate changes also be made to include </w:t>
            </w:r>
            <w:r w:rsidR="00C43AD7">
              <w:rPr>
                <w:b/>
              </w:rPr>
              <w:t>Online groups, meetings and service bodies</w:t>
            </w:r>
            <w:r w:rsidR="00D152E6">
              <w:rPr>
                <w:b/>
              </w:rPr>
              <w:t xml:space="preserve">, cost unknown.  </w:t>
            </w:r>
            <w:r w:rsidR="002300C1" w:rsidRPr="00984CC5">
              <w:rPr>
                <w:b/>
              </w:rPr>
              <w:br/>
            </w:r>
          </w:p>
          <w:p w:rsidR="002300C1" w:rsidRDefault="002300C1" w:rsidP="00381726">
            <w:pPr>
              <w:tabs>
                <w:tab w:val="left" w:pos="8505"/>
              </w:tabs>
              <w:rPr>
                <w:sz w:val="20"/>
              </w:rPr>
            </w:pPr>
          </w:p>
        </w:tc>
      </w:tr>
      <w:tr w:rsidR="002300C1" w:rsidTr="002300C1">
        <w:trPr>
          <w:trHeight w:val="839"/>
        </w:trPr>
        <w:tc>
          <w:tcPr>
            <w:tcW w:w="2518" w:type="dxa"/>
          </w:tcPr>
          <w:p w:rsidR="002300C1" w:rsidRDefault="002300C1" w:rsidP="00381726">
            <w:pPr>
              <w:tabs>
                <w:tab w:val="left" w:pos="8505"/>
              </w:tabs>
              <w:rPr>
                <w:sz w:val="20"/>
              </w:rPr>
            </w:pPr>
            <w:r w:rsidRPr="002A074D">
              <w:rPr>
                <w:b/>
                <w:szCs w:val="24"/>
              </w:rPr>
              <w:lastRenderedPageBreak/>
              <w:t>Proposer (Name, service position/ASC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8164" w:type="dxa"/>
          </w:tcPr>
          <w:p w:rsidR="002300C1" w:rsidRPr="00EC4B9E" w:rsidRDefault="00D83B69" w:rsidP="00D83B69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br/>
            </w:r>
            <w:r w:rsidR="00EC4B9E" w:rsidRPr="00EC4B9E">
              <w:rPr>
                <w:b/>
                <w:sz w:val="24"/>
                <w:szCs w:val="24"/>
                <w:lang w:val="en-US"/>
              </w:rPr>
              <w:t>Proposed Motion(s) from the HIGNA ASC</w:t>
            </w:r>
            <w:r w:rsidR="00984CC5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300C1" w:rsidTr="002300C1">
        <w:trPr>
          <w:trHeight w:val="852"/>
        </w:trPr>
        <w:tc>
          <w:tcPr>
            <w:tcW w:w="2518" w:type="dxa"/>
          </w:tcPr>
          <w:p w:rsidR="002300C1" w:rsidRDefault="002300C1" w:rsidP="002300C1">
            <w:pPr>
              <w:tabs>
                <w:tab w:val="left" w:pos="8505"/>
              </w:tabs>
              <w:rPr>
                <w:sz w:val="20"/>
              </w:rPr>
            </w:pPr>
            <w:r w:rsidRPr="002A074D">
              <w:rPr>
                <w:b/>
                <w:szCs w:val="24"/>
              </w:rPr>
              <w:t>Seconded by (RCM) Name + ASC:</w:t>
            </w:r>
          </w:p>
        </w:tc>
        <w:tc>
          <w:tcPr>
            <w:tcW w:w="8164" w:type="dxa"/>
          </w:tcPr>
          <w:p w:rsidR="002300C1" w:rsidRDefault="002300C1" w:rsidP="00381726">
            <w:pPr>
              <w:tabs>
                <w:tab w:val="left" w:pos="8505"/>
              </w:tabs>
              <w:rPr>
                <w:sz w:val="20"/>
              </w:rPr>
            </w:pPr>
          </w:p>
        </w:tc>
      </w:tr>
      <w:tr w:rsidR="002300C1" w:rsidTr="002300C1">
        <w:trPr>
          <w:trHeight w:val="835"/>
        </w:trPr>
        <w:tc>
          <w:tcPr>
            <w:tcW w:w="2518" w:type="dxa"/>
          </w:tcPr>
          <w:p w:rsidR="002300C1" w:rsidRDefault="002300C1" w:rsidP="00381726">
            <w:pPr>
              <w:tabs>
                <w:tab w:val="left" w:pos="8505"/>
              </w:tabs>
              <w:rPr>
                <w:sz w:val="20"/>
              </w:rPr>
            </w:pPr>
            <w:r w:rsidRPr="002A074D">
              <w:rPr>
                <w:b/>
                <w:szCs w:val="24"/>
              </w:rPr>
              <w:t>Date and location of Region meeting</w:t>
            </w:r>
          </w:p>
        </w:tc>
        <w:tc>
          <w:tcPr>
            <w:tcW w:w="8164" w:type="dxa"/>
          </w:tcPr>
          <w:p w:rsidR="002300C1" w:rsidRDefault="002300C1" w:rsidP="00381726">
            <w:pPr>
              <w:tabs>
                <w:tab w:val="left" w:pos="8505"/>
              </w:tabs>
              <w:rPr>
                <w:sz w:val="20"/>
              </w:rPr>
            </w:pPr>
          </w:p>
          <w:p w:rsidR="00D83B69" w:rsidRDefault="00D83B69" w:rsidP="00381726">
            <w:pPr>
              <w:tabs>
                <w:tab w:val="left" w:pos="8505"/>
              </w:tabs>
              <w:rPr>
                <w:sz w:val="20"/>
              </w:rPr>
            </w:pPr>
            <w:r>
              <w:rPr>
                <w:b/>
                <w:sz w:val="24"/>
                <w:szCs w:val="24"/>
                <w:lang w:val="en-US"/>
              </w:rPr>
              <w:t>March 2019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Jersey</w:t>
            </w:r>
          </w:p>
        </w:tc>
      </w:tr>
    </w:tbl>
    <w:p w:rsidR="002300C1" w:rsidRDefault="002300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300C1" w:rsidTr="002300C1">
        <w:trPr>
          <w:trHeight w:val="523"/>
        </w:trPr>
        <w:tc>
          <w:tcPr>
            <w:tcW w:w="5341" w:type="dxa"/>
          </w:tcPr>
          <w:p w:rsidR="002300C1" w:rsidRDefault="002300C1" w:rsidP="00381726">
            <w:pPr>
              <w:tabs>
                <w:tab w:val="left" w:pos="850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RCMs present:</w:t>
            </w:r>
          </w:p>
          <w:p w:rsidR="002300C1" w:rsidRPr="002A074D" w:rsidRDefault="002300C1" w:rsidP="00381726">
            <w:pPr>
              <w:tabs>
                <w:tab w:val="left" w:pos="850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Quorum 11</w:t>
            </w:r>
          </w:p>
        </w:tc>
        <w:tc>
          <w:tcPr>
            <w:tcW w:w="5341" w:type="dxa"/>
          </w:tcPr>
          <w:p w:rsidR="002300C1" w:rsidRPr="002300C1" w:rsidRDefault="002300C1" w:rsidP="00381726">
            <w:pPr>
              <w:tabs>
                <w:tab w:val="left" w:pos="8505"/>
              </w:tabs>
              <w:rPr>
                <w:b/>
                <w:sz w:val="20"/>
              </w:rPr>
            </w:pPr>
            <w:r w:rsidRPr="002300C1">
              <w:rPr>
                <w:b/>
                <w:sz w:val="20"/>
              </w:rPr>
              <w:t xml:space="preserve">Consensus reached? </w:t>
            </w:r>
          </w:p>
        </w:tc>
      </w:tr>
      <w:tr w:rsidR="002300C1" w:rsidTr="002300C1">
        <w:trPr>
          <w:trHeight w:val="523"/>
        </w:trPr>
        <w:tc>
          <w:tcPr>
            <w:tcW w:w="5341" w:type="dxa"/>
          </w:tcPr>
          <w:p w:rsidR="002300C1" w:rsidRPr="002A074D" w:rsidRDefault="002300C1" w:rsidP="00381726">
            <w:pPr>
              <w:tabs>
                <w:tab w:val="left" w:pos="850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Region date from which policy will be active:</w:t>
            </w:r>
          </w:p>
        </w:tc>
        <w:tc>
          <w:tcPr>
            <w:tcW w:w="5341" w:type="dxa"/>
          </w:tcPr>
          <w:p w:rsidR="002300C1" w:rsidRPr="002300C1" w:rsidRDefault="002300C1" w:rsidP="00381726">
            <w:pPr>
              <w:tabs>
                <w:tab w:val="left" w:pos="8505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2300C1">
              <w:rPr>
                <w:b/>
                <w:sz w:val="20"/>
              </w:rPr>
              <w:t xml:space="preserve">If temporary, date of re-evaluation: </w:t>
            </w:r>
          </w:p>
        </w:tc>
      </w:tr>
    </w:tbl>
    <w:p w:rsidR="002300C1" w:rsidRPr="002A074D" w:rsidRDefault="002300C1" w:rsidP="00381726">
      <w:pPr>
        <w:tabs>
          <w:tab w:val="left" w:pos="8505"/>
        </w:tabs>
        <w:rPr>
          <w:sz w:val="20"/>
        </w:rPr>
      </w:pPr>
    </w:p>
    <w:sectPr w:rsidR="002300C1" w:rsidRPr="002A074D" w:rsidSect="00230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24" w:rsidRDefault="00EB4424" w:rsidP="00591BF3">
      <w:pPr>
        <w:spacing w:after="0" w:line="240" w:lineRule="auto"/>
      </w:pPr>
      <w:r>
        <w:separator/>
      </w:r>
    </w:p>
  </w:endnote>
  <w:endnote w:type="continuationSeparator" w:id="0">
    <w:p w:rsidR="00EB4424" w:rsidRDefault="00EB4424" w:rsidP="0059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F3" w:rsidRDefault="00591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F3" w:rsidRDefault="00591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F3" w:rsidRDefault="00591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24" w:rsidRDefault="00EB4424" w:rsidP="00591BF3">
      <w:pPr>
        <w:spacing w:after="0" w:line="240" w:lineRule="auto"/>
      </w:pPr>
      <w:r>
        <w:separator/>
      </w:r>
    </w:p>
  </w:footnote>
  <w:footnote w:type="continuationSeparator" w:id="0">
    <w:p w:rsidR="00EB4424" w:rsidRDefault="00EB4424" w:rsidP="0059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F3" w:rsidRDefault="00EB44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45438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F3" w:rsidRDefault="00EB44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45439" o:spid="_x0000_s2051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F3" w:rsidRDefault="00EB44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45437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D7"/>
    <w:rsid w:val="000055A3"/>
    <w:rsid w:val="001B571B"/>
    <w:rsid w:val="002300C1"/>
    <w:rsid w:val="002A074D"/>
    <w:rsid w:val="00381726"/>
    <w:rsid w:val="004272D0"/>
    <w:rsid w:val="00591BF3"/>
    <w:rsid w:val="006D32B8"/>
    <w:rsid w:val="007B209A"/>
    <w:rsid w:val="00837173"/>
    <w:rsid w:val="0093656F"/>
    <w:rsid w:val="00984CC5"/>
    <w:rsid w:val="009F3398"/>
    <w:rsid w:val="00A04BE2"/>
    <w:rsid w:val="00A33FE4"/>
    <w:rsid w:val="00AB2961"/>
    <w:rsid w:val="00C43AD7"/>
    <w:rsid w:val="00C700D7"/>
    <w:rsid w:val="00D152E6"/>
    <w:rsid w:val="00D83B69"/>
    <w:rsid w:val="00E42591"/>
    <w:rsid w:val="00E706AE"/>
    <w:rsid w:val="00EB4424"/>
    <w:rsid w:val="00E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F3"/>
  </w:style>
  <w:style w:type="paragraph" w:styleId="Footer">
    <w:name w:val="footer"/>
    <w:basedOn w:val="Normal"/>
    <w:link w:val="FooterChar"/>
    <w:uiPriority w:val="99"/>
    <w:unhideWhenUsed/>
    <w:rsid w:val="0059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F3"/>
  </w:style>
  <w:style w:type="paragraph" w:styleId="Footer">
    <w:name w:val="footer"/>
    <w:basedOn w:val="Normal"/>
    <w:link w:val="FooterChar"/>
    <w:uiPriority w:val="99"/>
    <w:unhideWhenUsed/>
    <w:rsid w:val="0059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Davidson</dc:creator>
  <cp:lastModifiedBy>User</cp:lastModifiedBy>
  <cp:revision>5</cp:revision>
  <dcterms:created xsi:type="dcterms:W3CDTF">2019-01-27T15:16:00Z</dcterms:created>
  <dcterms:modified xsi:type="dcterms:W3CDTF">2019-01-27T15:38:00Z</dcterms:modified>
</cp:coreProperties>
</file>